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keepNext w:val="1"/>
        <w:spacing w:after="0" w:line="240" w:lineRule="auto"/>
        <w:jc w:val="center"/>
        <w:rPr>
          <w:b w:val="1"/>
          <w:bCs w:val="1"/>
          <w:caps w:val="1"/>
          <w:sz w:val="28"/>
          <w:szCs w:val="28"/>
        </w:rPr>
      </w:pPr>
      <w:r>
        <w:rPr>
          <w:b w:val="1"/>
          <w:bCs w:val="1"/>
          <w:caps w:val="1"/>
          <w:sz w:val="28"/>
          <w:szCs w:val="28"/>
          <w:rtl w:val="0"/>
        </w:rPr>
        <w:t>Provozn</w:t>
      </w:r>
      <w:r>
        <w:rPr>
          <w:b w:val="1"/>
          <w:bCs w:val="1"/>
          <w:caps w:val="1"/>
          <w:sz w:val="28"/>
          <w:szCs w:val="28"/>
          <w:rtl w:val="0"/>
        </w:rPr>
        <w:t>í řá</w:t>
      </w:r>
      <w:r>
        <w:rPr>
          <w:b w:val="1"/>
          <w:bCs w:val="1"/>
          <w:caps w:val="1"/>
          <w:sz w:val="28"/>
          <w:szCs w:val="28"/>
          <w:rtl w:val="0"/>
        </w:rPr>
        <w:t>d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spole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>nosti F.X.C.G. Education s.r.o., I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:lang w:val="pt-PT"/>
          <w14:textFill>
            <w14:solidFill>
              <w14:srgbClr w14:val="1A171B"/>
            </w14:solidFill>
          </w14:textFill>
        </w:rPr>
        <w:t>: 09207392, se s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dlem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sady 988/2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,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 Star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Brno, 602 00 Brno,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 zapsan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 obchodn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:lang w:val="da-DK"/>
          <w14:textFill>
            <w14:solidFill>
              <w14:srgbClr w14:val="1A171B"/>
            </w14:solidFill>
          </w14:textFill>
        </w:rPr>
        <w:t>m rejst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ku veden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u Krajsk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soudu v Brn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odd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l C, vlo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ka 117812 (d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 tak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é „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Spole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</w:t>
      </w:r>
      <w:r>
        <w:rPr>
          <w:outline w:val="0"/>
          <w:color w:val="1a171b"/>
          <w:sz w:val="24"/>
          <w:szCs w:val="24"/>
          <w:u w:color="1a171b"/>
          <w:rtl w:val="1"/>
          <w:lang w:val="ar-SA" w:bidi="ar-SA"/>
          <w14:textFill>
            <w14:solidFill>
              <w14:srgbClr w14:val="1A171B"/>
            </w14:solidFill>
          </w14:textFill>
        </w:rPr>
        <w:t>“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) pro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sz w:val="24"/>
          <w:szCs w:val="24"/>
          <w:rtl w:val="0"/>
        </w:rPr>
        <w:t>prostor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budov</w:t>
      </w:r>
      <w:r>
        <w:rPr>
          <w:sz w:val="24"/>
          <w:szCs w:val="24"/>
          <w:rtl w:val="0"/>
        </w:rPr>
        <w:t>ě č</w:t>
      </w:r>
      <w:r>
        <w:rPr>
          <w:sz w:val="24"/>
          <w:szCs w:val="24"/>
          <w:rtl w:val="0"/>
        </w:rPr>
        <w:t>.p. 974,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je sou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pozemku parc.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739/165, zapsan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na LV 2240 pro k.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. Moravany u Brna (d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le tak</w:t>
      </w:r>
      <w:r>
        <w:rPr>
          <w:sz w:val="24"/>
          <w:szCs w:val="24"/>
          <w:rtl w:val="0"/>
        </w:rPr>
        <w:t>é „</w:t>
      </w:r>
      <w:r>
        <w:rPr>
          <w:b w:val="1"/>
          <w:bCs w:val="1"/>
          <w:sz w:val="24"/>
          <w:szCs w:val="24"/>
          <w:rtl w:val="0"/>
        </w:rPr>
        <w:t>prostor</w:t>
      </w: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Trading Floor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</w:rPr>
        <w:t>).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I.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</w:rPr>
        <w:t>vodn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ustanoven</w:t>
      </w:r>
      <w:r>
        <w:rPr>
          <w:b w:val="1"/>
          <w:bCs w:val="1"/>
          <w:sz w:val="24"/>
          <w:szCs w:val="24"/>
          <w:rtl w:val="0"/>
        </w:rPr>
        <w:t>í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Tento Provozn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řá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 je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vazn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ý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echny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leny programu Trading Floor a pro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echny osoby vstupuj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 prostoru Trading Floor (d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 tak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é „č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1"/>
          <w:lang w:val="ar-SA" w:bidi="ar-SA"/>
          <w14:textFill>
            <w14:solidFill>
              <w14:srgbClr w14:val="1A171B"/>
            </w14:solidFill>
          </w14:textFill>
        </w:rPr>
        <w:t>“</w:t>
      </w:r>
      <w:r>
        <w:rPr>
          <w:outline w:val="0"/>
          <w:color w:val="1a171b"/>
          <w:sz w:val="24"/>
          <w:szCs w:val="24"/>
          <w:u w:color="1a171b"/>
          <w:rtl w:val="0"/>
          <w:lang w:val="pt-PT"/>
          <w14:textFill>
            <w14:solidFill>
              <w14:srgbClr w14:val="1A171B"/>
            </w14:solidFill>
          </w14:textFill>
        </w:rPr>
        <w:t>) a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ichni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povinni se s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mto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dem sezn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mit a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dit se 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m. </w:t>
      </w: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II.</w:t>
      </w: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Rozsah spoluu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prostoru Trading Floor</w:t>
      </w:r>
    </w:p>
    <w:p>
      <w:pPr>
        <w:pStyle w:val="Normal.0"/>
        <w:shd w:val="clear" w:color="auto" w:fill="ffffff"/>
        <w:spacing w:after="0" w:line="240" w:lineRule="auto"/>
        <w:jc w:val="center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Otev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rac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doba prostoru:</w:t>
      </w:r>
    </w:p>
    <w:p>
      <w:pPr>
        <w:pStyle w:val="Normal.0"/>
        <w:shd w:val="clear" w:color="auto" w:fill="ffffff"/>
        <w:spacing w:after="0" w:line="240" w:lineRule="auto"/>
        <w:ind w:left="720" w:firstLine="0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pond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,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tvrtek</w:t>
        <w:tab/>
        <w:tab/>
        <w:tab/>
        <w:tab/>
        <w:t xml:space="preserve">9.00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–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17:00 </w:t>
      </w:r>
    </w:p>
    <w:p>
      <w:pPr>
        <w:pStyle w:val="Normal.0"/>
        <w:shd w:val="clear" w:color="auto" w:fill="ffffff"/>
        <w:spacing w:after="0" w:line="240" w:lineRule="auto"/>
        <w:ind w:left="720" w:firstLine="0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ú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ter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, st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eda,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tek, sobota, ned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</w:t>
        <w:tab/>
        <w:tab/>
        <w:t>zav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eno</w:t>
      </w:r>
    </w:p>
    <w:p>
      <w:pPr>
        <w:pStyle w:val="Normal.0"/>
        <w:shd w:val="clear" w:color="auto" w:fill="ffffff"/>
        <w:spacing w:after="0" w:line="240" w:lineRule="auto"/>
        <w:ind w:left="720" w:firstLine="0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720" w:firstLine="0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Otev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rac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doba 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 omezena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vodu st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sv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tku, soukrom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akce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vodu nutn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technick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é ú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pravy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i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ú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by prostoru nebo jin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:lang w:val="pt-PT"/>
          <w14:textFill>
            <w14:solidFill>
              <w14:srgbClr w14:val="1A171B"/>
            </w14:solidFill>
          </w14:textFill>
        </w:rPr>
        <w:t>ho 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vodu na stran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Spole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nosti. 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len 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mci sd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prostoru Trading Floor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vat 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sleduj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:lang w:val="da-DK"/>
          <w14:textFill>
            <w14:solidFill>
              <w14:srgbClr w14:val="1A171B"/>
            </w14:solidFill>
          </w14:textFill>
        </w:rPr>
        <w:t>slu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by:</w:t>
      </w:r>
    </w:p>
    <w:p>
      <w:pPr>
        <w:pStyle w:val="List Paragraph"/>
        <w:shd w:val="clear" w:color="auto" w:fill="ffffff"/>
        <w:spacing w:after="0" w:line="240" w:lineRule="auto"/>
        <w:ind w:left="1560" w:firstLine="0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ve stanoven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ch dnech (pond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a/nebo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tvrtek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od 09:00 do 17:00 hod)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vat sd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prostory Bohunick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á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cesta 16, 664 48 Moravany (d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 tak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jen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„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ý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prostor</w:t>
      </w:r>
      <w:r>
        <w:rPr>
          <w:outline w:val="0"/>
          <w:color w:val="1a171b"/>
          <w:sz w:val="24"/>
          <w:szCs w:val="24"/>
          <w:u w:color="1a171b"/>
          <w:rtl w:val="1"/>
          <w:lang w:val="ar-SA" w:bidi="ar-SA"/>
          <w14:textFill>
            <w14:solidFill>
              <w14:srgbClr w14:val="1A171B"/>
            </w14:solidFill>
          </w14:textFill>
        </w:rPr>
        <w:t>“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)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rozsahu jednoho pracovn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sta,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ve stanoven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ch dnech (dle typu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lenstv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) 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konzultace dovednost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kazn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ka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oblasti tradingu,  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zakoupen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nealkoholick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>ch 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ů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(konkr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informace na vy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lenovi poskytne obsluha),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asistence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rozboru fundament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anal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zy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jemce,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ch trena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>hern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konzole Playstation,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posilovny,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parkovac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sta,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:lang w:val="da-DK"/>
          <w14:textFill>
            <w14:solidFill>
              <w14:srgbClr w14:val="1A171B"/>
            </w14:solidFill>
          </w14:textFill>
        </w:rPr>
        <w:t>slu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eb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„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barbershop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 xml:space="preserve">“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za zv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nou cenu,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zap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vozidla za zv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nou cenu,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zdy (jako spolujezdec) ve vozidle Porsche GT3 Cup za zv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nou cenu,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zaji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menu za zv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nou cenu.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708" w:firstLine="0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len bere na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,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specifikovan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:lang w:val="da-DK"/>
          <w14:textFill>
            <w14:solidFill>
              <w14:srgbClr w14:val="1A171B"/>
            </w14:solidFill>
          </w14:textFill>
        </w:rPr>
        <w:t>slu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by jsou sd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echny spoluu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ivatele prostoru Trading Floor a 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nosti jejich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visl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na jejich kapacit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.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ý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ů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nem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á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ednostn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vat kteroukoli ze sd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ch slu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eb a 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jejich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proto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ží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na dohod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ů 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>a dal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ší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>ch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ivatel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ů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prostoru Trading Floor. 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Vstup do prostoru Trading Floor je umo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 pouze osob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star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m 18 let. </w:t>
      </w:r>
    </w:p>
    <w:p>
      <w:pPr>
        <w:pStyle w:val="Normal.0"/>
        <w:shd w:val="clear" w:color="auto" w:fill="ffffff"/>
        <w:spacing w:after="0" w:line="240" w:lineRule="auto"/>
        <w:ind w:left="708" w:firstLine="0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List Paragraph"/>
        <w:shd w:val="clear" w:color="auto" w:fill="ffffff"/>
        <w:spacing w:after="0" w:line="240" w:lineRule="auto"/>
        <w:ind w:left="0" w:firstLine="0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III.</w:t>
      </w: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Pravidla u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prostoru </w:t>
      </w: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prostoru Trading Floor je zak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 kou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it, manipulovat s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>otev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>m ohn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a konzumovat alkoholick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poje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jin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vykov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tky. Do prostoru Trading Floor nen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povoleno 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et jak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koli alkoholick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poje, 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vykov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tky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zbran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nebo jin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nebezpe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edm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ty.  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je zak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 vstupovat do prostoru Trading Floor se zv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aty. 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Spole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je opr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na odep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stup do prostoru Trading Floor osob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m, kter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pod vlivem 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vykov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tky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se chovaj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takov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zp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sobem,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lze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edpokl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 xml:space="preserve">dat,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pod vlivem 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vykov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tky jsou.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povinni zachov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vat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 xml:space="preserve">prostoru Trading Floor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istotu a po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dek.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povinni neponech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vat sv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osobn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ci bez dozoru.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povinni zdr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et se jak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hokoliv jedn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, kter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by ze strany Spole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nosti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jin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 xml:space="preserve">ch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ivatel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ů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prostor Trading Floor mohlo 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 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 jako obt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uj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ohro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uj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jejich 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 vypl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jejich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lenstv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.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povinni respektovat pokyny, kter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jim ve vztahu 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prostoru Trading Floor budou ud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leny ze strany Spole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nosti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pov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pracovn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ka.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em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je zak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>no dot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kat se vystaven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>ch automobil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je jak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mkoli zp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sobem po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kozovat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vat.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em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je zak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>no dot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kat se vystaven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surfov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ho prkna JETSURF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jej jak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mkoli zp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sobem po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kozovat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vat.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ed opu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 xml:space="preserve">m prostoru Trading Floor je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 povinen uv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st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echno 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m pou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van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za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m pou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van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edm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ty do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ho stavu.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pad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vzniku po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ru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i nehody se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é 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platn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mi protipo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mi poplachov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mi sm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rnicemi.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povinni se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ed vstupem do prostoru Trading Floor s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>mito sm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rnicemi sezn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mit.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opr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ni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vat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zem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prostoru Trading Floor.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nejsou, bez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slovn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opr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Spole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nosti, opr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ni vstupovat do I. nadzemn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podla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ží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budoy, ve kter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>se nach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prostor Trading Floor.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ed vstupem do jak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koli 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stnosti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kancel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e jsou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dy povinni klepat.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povinni neumo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nit vstup do prostoru Trading Floor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prostoru Trading Floor jin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osob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m. 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prostoru gar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se nach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tzv.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„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kontejner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 xml:space="preserve">“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jeho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ž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spodn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čá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sti se nach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tory (viz. 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>le).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horn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:lang w:val="pt-PT"/>
          <w14:textFill>
            <w14:solidFill>
              <w14:srgbClr w14:val="1A171B"/>
            </w14:solidFill>
          </w14:textFill>
        </w:rPr>
        <w:t>m pat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je zak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 odkl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dat 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poje jinam ne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ž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na odkl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dac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stolek.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horn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:lang w:val="pt-PT"/>
          <w14:textFill>
            <w14:solidFill>
              <w14:srgbClr w14:val="1A171B"/>
            </w14:solidFill>
          </w14:textFill>
        </w:rPr>
        <w:t>m pat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se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jednom okam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:lang w:val="pt-PT"/>
          <w14:textFill>
            <w14:solidFill>
              <w14:srgbClr w14:val="1A171B"/>
            </w14:solidFill>
          </w14:textFill>
        </w:rPr>
        <w:t>iku mohou pohybovat osoby do maxim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celkov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hy 500 kg. Pohyb na tomto pat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je na vlastn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nebezpe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, je zak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 nah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bat se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>es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bradl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na toto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bradl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vyv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jet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li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ý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tlak. </w:t>
      </w:r>
    </w:p>
    <w:p>
      <w:pPr>
        <w:pStyle w:val="Normal.0"/>
        <w:numPr>
          <w:ilvl w:val="0"/>
          <w:numId w:val="9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nejsou opr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ni jakkoli manipulovat se sv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 xml:space="preserve">tly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klimatizac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a jejich ovl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m. </w:t>
      </w: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IV.</w:t>
      </w: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Povinnosti 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numPr>
          <w:ilvl w:val="0"/>
          <w:numId w:val="11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 je povinen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vat prostor Trading Floor takov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zp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sobem, aby byl naplne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̌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 princip konceptu Trading Floor, tedy podpora podnikatelsk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ch a osobnostn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ch dovednost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jeho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ivatel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ů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oblasti tradingu a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rove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ň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nebyla naru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na 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 ostatn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 xml:space="preserve">ch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ů 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>a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ivatel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ů 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 xml:space="preserve">Trading Floor. </w:t>
      </w:r>
    </w:p>
    <w:p>
      <w:pPr>
        <w:pStyle w:val="Normal.0"/>
        <w:numPr>
          <w:ilvl w:val="0"/>
          <w:numId w:val="11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 je povinen zajistit si ve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ker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á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nezbytn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á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povolen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, opr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, souhlasy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jin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obdobn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podklady, kter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jsou nezbytn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pro provozov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chkoli aktivit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lena, kter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bude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mci spoluu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prostor Trading Floor prov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t, a to tak, aby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zp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sobem neohrozil bezpe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nost, zdrav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dobr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jm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 osob, kter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 xml:space="preserve">prostor Trading Floor,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Spole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nosti. </w:t>
      </w:r>
    </w:p>
    <w:p>
      <w:pPr>
        <w:pStyle w:val="Normal.0"/>
        <w:numPr>
          <w:ilvl w:val="0"/>
          <w:numId w:val="11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 je povinen po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nat si tak, aby na za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 xml:space="preserve">prostoru Trading Floor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na budov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, ve kter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se Trading Floor nach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, nevznikla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 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koda a je povinen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padn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init jak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koli nezbytn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á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opat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minimalizaci hroz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kody a o takov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ch hroz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 xml:space="preserve">ch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kod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ch bezodkladn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informovat Spole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nost.</w:t>
      </w:r>
    </w:p>
    <w:p>
      <w:pPr>
        <w:pStyle w:val="Normal.0"/>
        <w:numPr>
          <w:ilvl w:val="0"/>
          <w:numId w:val="11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len bere na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,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Spole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nen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odpov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á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za jakoukoli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kodu, kter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lenovi vznikne jedn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ch stran, tj. zejm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na, nikoli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ak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, ostatn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mi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leny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ivateli prostoru Trading Floor. </w:t>
      </w:r>
    </w:p>
    <w:p>
      <w:pPr>
        <w:pStyle w:val="Normal.0"/>
        <w:shd w:val="clear" w:color="auto" w:fill="ffffff"/>
        <w:spacing w:after="0" w:line="240" w:lineRule="auto"/>
        <w:ind w:left="360" w:firstLine="0"/>
        <w:jc w:val="both"/>
        <w:rPr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V.</w:t>
      </w: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Pravidla u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>ch simul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tor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ed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toru je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 povinen nahl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sit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obsluze prostoru Trading Floor, instruktorovi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jin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osob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.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stup 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mu 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toru, tj. do ohrani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ho prostoru, je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lenovi povolen pouze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doprovodu takov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osoby. 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 z</w:t>
      </w:r>
      <w:r>
        <w:rPr>
          <w:outline w:val="0"/>
          <w:color w:val="1a171b"/>
          <w:sz w:val="24"/>
          <w:szCs w:val="24"/>
          <w:u w:color="1a171b"/>
          <w:rtl w:val="0"/>
          <w:lang w:val="es-ES_tradnl"/>
          <w14:textFill>
            <w14:solidFill>
              <w14:srgbClr w14:val="1A171B"/>
            </w14:solidFill>
          </w14:textFill>
        </w:rPr>
        <w:t>ó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ny 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ů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jsou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povinni vstupovat bez obuvi, eventu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ist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sportovn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obuvi s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rovnou podr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kou nebo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ist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obuvi. 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toru je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 povinen pou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vat 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tomu ur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rukavice. Pokud takov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nevlastn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, rukavice mu budou na vy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zap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eny obsluhou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toru.  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vyu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toru je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 povinen odlo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it si osobn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ci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:lang w:val="es-ES_tradnl"/>
          <w14:textFill>
            <w14:solidFill>
              <w14:srgbClr w14:val="1A171B"/>
            </w14:solidFill>
          </w14:textFill>
        </w:rPr>
        <w:t>ó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toru tak, aby tyto 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dohledu. 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toru je povoleno 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et pouze telefon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osobn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doklady, kter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lze ulo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it do kapsy seda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ky na 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toru, kter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á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je 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takov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mu ulo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ur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>ena.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pad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,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tyto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edm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ty budou um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ny na jin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 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>, Spole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nost neodpov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á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za jejich ztr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tu, odcizen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zni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. 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bezprost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bl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zkosti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>ch 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ů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je zak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no konzumovat pokrmy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poje. 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:lang w:val="en-US"/>
          <w14:textFill>
            <w14:solidFill>
              <w14:srgbClr w14:val="1A171B"/>
            </w14:solidFill>
          </w14:textFill>
        </w:rPr>
        <w:t>i used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na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tor je zak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no op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rat se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se dr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et za volant,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 je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dy povinen usedat op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en o sedadlo. 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pad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,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e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 nespr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vnou obsluhou po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kod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tor, je povinen uhradit jeho opravu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nu po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kozen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ch sou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nebo sestavy. 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Na po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ta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ov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sestav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,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ipojen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mu 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toru, nen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č</w:t>
      </w:r>
      <w:r>
        <w:rPr>
          <w:outline w:val="0"/>
          <w:color w:val="1a171b"/>
          <w:sz w:val="24"/>
          <w:szCs w:val="24"/>
          <w:u w:color="1a171b"/>
          <w:rtl w:val="0"/>
          <w:lang w:val="nl-NL"/>
          <w14:textFill>
            <w14:solidFill>
              <w14:srgbClr w14:val="1A171B"/>
            </w14:solidFill>
          </w14:textFill>
        </w:rPr>
        <w:t>len opr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n instalovat, mazat, upravovat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spou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 jak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é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koliv programy.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 je opr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 spustit pouze a 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hradn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:lang w:val="it-IT"/>
          <w14:textFill>
            <w14:solidFill>
              <w14:srgbClr w14:val="1A171B"/>
            </w14:solidFill>
          </w14:textFill>
        </w:rPr>
        <w:t xml:space="preserve">hru Asseto Corsa. 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Samostatn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vat 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tor mohou osoby star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ší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18 let s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 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kou minim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ě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135 cm.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:lang w:val="pt-PT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:lang w:val="pt-PT"/>
          <w14:textFill>
            <w14:solidFill>
              <w14:srgbClr w14:val="1A171B"/>
            </w14:solidFill>
          </w14:textFill>
        </w:rPr>
        <w:t>Maxim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zat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vodn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ho simul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toru je 120 kg. </w:t>
      </w:r>
    </w:p>
    <w:p>
      <w:pPr>
        <w:pStyle w:val="List Paragraph"/>
        <w:shd w:val="clear" w:color="auto" w:fill="ffffff"/>
        <w:spacing w:after="0" w:line="240" w:lineRule="auto"/>
        <w:ind w:left="0" w:firstLine="0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VI.</w:t>
      </w: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Z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re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n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á 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ustanoven</w:t>
      </w:r>
      <w:r>
        <w:rPr>
          <w:b w:val="1"/>
          <w:bCs w:val="1"/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outlineLvl w:val="1"/>
        <w:rPr>
          <w:b w:val="1"/>
          <w:bCs w:val="1"/>
          <w:outline w:val="0"/>
          <w:color w:val="1a171b"/>
          <w:sz w:val="24"/>
          <w:szCs w:val="24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Normal.0"/>
        <w:numPr>
          <w:ilvl w:val="0"/>
          <w:numId w:val="15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Ka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len, kter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ý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poru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ší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povinnosti stanoven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 xml:space="preserve">é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mto provozn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m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řá</w:t>
      </w:r>
      <w:r>
        <w:rPr>
          <w:outline w:val="0"/>
          <w:color w:val="1a171b"/>
          <w:sz w:val="24"/>
          <w:szCs w:val="24"/>
          <w:u w:color="1a171b"/>
          <w:rtl w:val="0"/>
          <w:lang w:val="da-DK"/>
          <w14:textFill>
            <w14:solidFill>
              <w14:srgbClr w14:val="1A171B"/>
            </w14:solidFill>
          </w14:textFill>
        </w:rPr>
        <w:t>dem, 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:lang w:val="fr-FR"/>
          <w14:textFill>
            <w14:solidFill>
              <w14:srgbClr w14:val="1A171B"/>
            </w14:solidFill>
          </w14:textFill>
        </w:rPr>
        <w:t>t do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asn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ě 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 trvale zbaven sv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 xml:space="preserve">ch 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lensk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ch pr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 a m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ůž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 mu 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:lang w:val="de-DE"/>
          <w14:textFill>
            <w14:solidFill>
              <w14:srgbClr w14:val="1A171B"/>
            </w14:solidFill>
          </w14:textFill>
        </w:rPr>
        <w:t>t odep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en p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ří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 xml:space="preserve">stup do prostoru Trading Floor. </w:t>
      </w:r>
    </w:p>
    <w:p>
      <w:pPr>
        <w:pStyle w:val="Normal.0"/>
        <w:numPr>
          <w:ilvl w:val="0"/>
          <w:numId w:val="15"/>
        </w:numPr>
        <w:shd w:val="clear" w:color="auto" w:fill="ffffff"/>
        <w:bidi w:val="0"/>
        <w:spacing w:after="0" w:line="240" w:lineRule="auto"/>
        <w:ind w:right="0"/>
        <w:jc w:val="both"/>
        <w:rPr>
          <w:outline w:val="0"/>
          <w:color w:val="1a171b"/>
          <w:sz w:val="24"/>
          <w:szCs w:val="24"/>
          <w:rtl w:val="0"/>
          <w14:textFill>
            <w14:solidFill>
              <w14:srgbClr w14:val="1A171B"/>
            </w14:solidFill>
          </w14:textFill>
        </w:rPr>
      </w:pP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Tento provozn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í řá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d nab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ý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v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á úč</w:t>
      </w:r>
      <w:r>
        <w:rPr>
          <w:outline w:val="0"/>
          <w:color w:val="1a171b"/>
          <w:sz w:val="24"/>
          <w:szCs w:val="24"/>
          <w:u w:color="1a171b"/>
          <w:rtl w:val="0"/>
          <w14:textFill>
            <w14:solidFill>
              <w14:srgbClr w14:val="1A171B"/>
            </w14:solidFill>
          </w14:textFill>
        </w:rPr>
        <w:t>innosti dne [</w:t>
      </w:r>
      <w:r>
        <w:rPr>
          <w:outline w:val="0"/>
          <w:color w:val="1a171b"/>
          <w:sz w:val="24"/>
          <w:szCs w:val="24"/>
          <w:u w:color="1a171b"/>
          <w:shd w:val="clear" w:color="auto" w:fill="00ffff"/>
          <w:rtl w:val="0"/>
          <w14:textFill>
            <w14:solidFill>
              <w14:srgbClr w14:val="1A171B"/>
            </w14:solidFill>
          </w14:textFill>
        </w:rPr>
        <w:t>bude dopln</w:t>
      </w:r>
      <w:r>
        <w:rPr>
          <w:outline w:val="0"/>
          <w:color w:val="1a171b"/>
          <w:sz w:val="24"/>
          <w:szCs w:val="24"/>
          <w:u w:color="1a171b"/>
          <w:shd w:val="clear" w:color="auto" w:fill="00ffff"/>
          <w:rtl w:val="0"/>
          <w14:textFill>
            <w14:solidFill>
              <w14:srgbClr w14:val="1A171B"/>
            </w14:solidFill>
          </w14:textFill>
        </w:rPr>
        <w:t>ě</w:t>
      </w:r>
      <w:r>
        <w:rPr>
          <w:outline w:val="0"/>
          <w:color w:val="1a171b"/>
          <w:sz w:val="24"/>
          <w:szCs w:val="24"/>
          <w:u w:color="1a171b"/>
          <w:shd w:val="clear" w:color="auto" w:fill="00ffff"/>
          <w:rtl w:val="0"/>
          <w14:textFill>
            <w14:solidFill>
              <w14:srgbClr w14:val="1A171B"/>
            </w14:solidFill>
          </w14:textFill>
        </w:rPr>
        <w:t>no</w:t>
      </w:r>
      <w:r>
        <w:rPr>
          <w:outline w:val="0"/>
          <w:color w:val="1a171b"/>
          <w:sz w:val="24"/>
          <w:szCs w:val="24"/>
          <w:u w:color="1a171b"/>
          <w:rtl w:val="0"/>
          <w:lang w:val="pt-PT"/>
          <w14:textFill>
            <w14:solidFill>
              <w14:srgbClr w14:val="1A171B"/>
            </w14:solidFill>
          </w14:textFill>
        </w:rPr>
        <w:t>].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bullet"/>
      <w:suff w:val="tab"/>
      <w:lvlText w:val="-"/>
      <w:lvlJc w:val="left"/>
      <w:pPr>
        <w:ind w:left="15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2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0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7"/>
  </w:abstractNum>
  <w:abstractNum w:abstractNumId="13">
    <w:multiLevelType w:val="hybridMultilevel"/>
    <w:styleLink w:val="Importovaný styl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3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8"/>
      </w:numPr>
    </w:pPr>
  </w:style>
  <w:style w:type="numbering" w:styleId="Importovaný styl 5">
    <w:name w:val="Importovaný styl 5"/>
    <w:pPr>
      <w:numPr>
        <w:numId w:val="10"/>
      </w:numPr>
    </w:pPr>
  </w:style>
  <w:style w:type="numbering" w:styleId="Importovaný styl 6">
    <w:name w:val="Importovaný styl 6"/>
    <w:pPr>
      <w:numPr>
        <w:numId w:val="12"/>
      </w:numPr>
    </w:pPr>
  </w:style>
  <w:style w:type="numbering" w:styleId="Importovaný styl 7">
    <w:name w:val="Importovaný styl 7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